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508"/>
        <w:gridCol w:w="4508"/>
      </w:tblGrid>
      <w:tr w:rsidR="00CB0DA1" w14:paraId="2D463498" w14:textId="77777777" w:rsidTr="68B6AEE3">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5DAF3734" w:rsidR="00CB0DA1" w:rsidRPr="00BB22A7" w:rsidRDefault="00BB22A7" w:rsidP="00BB22A7">
            <w:pPr>
              <w:shd w:val="clear" w:color="auto" w:fill="FFFFFF"/>
              <w:rPr>
                <w:rFonts w:asciiTheme="majorHAnsi" w:eastAsia="Times New Roman" w:hAnsiTheme="majorHAnsi" w:cstheme="majorHAnsi"/>
                <w:b/>
                <w:bCs/>
                <w:color w:val="000000"/>
                <w:sz w:val="24"/>
                <w:szCs w:val="24"/>
                <w:lang w:eastAsia="en-GB"/>
              </w:rPr>
            </w:pPr>
            <w:r w:rsidRPr="000E0483">
              <w:rPr>
                <w:rFonts w:asciiTheme="majorHAnsi" w:eastAsia="Times New Roman" w:hAnsiTheme="majorHAnsi" w:cstheme="majorHAnsi"/>
                <w:b/>
                <w:bCs/>
                <w:color w:val="000000"/>
                <w:sz w:val="24"/>
                <w:szCs w:val="24"/>
                <w:lang w:eastAsia="en-GB"/>
              </w:rPr>
              <w:t>Pollution-induced epigenetic changes in environmentally important invertebrates.</w:t>
            </w:r>
          </w:p>
        </w:tc>
      </w:tr>
      <w:tr w:rsidR="00CB0DA1" w14:paraId="0D4E5B24" w14:textId="77777777" w:rsidTr="68B6AEE3">
        <w:tc>
          <w:tcPr>
            <w:tcW w:w="4508" w:type="dxa"/>
          </w:tcPr>
          <w:p w14:paraId="795C6C1A" w14:textId="4F44612F" w:rsidR="00CB0DA1" w:rsidRDefault="00CB0DA1" w:rsidP="68B6AEE3">
            <w:pPr>
              <w:rPr>
                <w:b/>
                <w:bCs/>
              </w:rPr>
            </w:pPr>
            <w:r w:rsidRPr="68B6AEE3">
              <w:rPr>
                <w:b/>
                <w:bCs/>
              </w:rPr>
              <w:t>Host Institution:</w:t>
            </w:r>
          </w:p>
        </w:tc>
        <w:tc>
          <w:tcPr>
            <w:tcW w:w="4508" w:type="dxa"/>
          </w:tcPr>
          <w:p w14:paraId="69AC2D2F" w14:textId="2263EA47" w:rsidR="00CB0DA1" w:rsidRDefault="00BB22A7">
            <w:r>
              <w:t>University of Leicester</w:t>
            </w:r>
          </w:p>
        </w:tc>
      </w:tr>
      <w:tr w:rsidR="00CB0DA1" w14:paraId="3F337040" w14:textId="77777777" w:rsidTr="68B6AEE3">
        <w:tc>
          <w:tcPr>
            <w:tcW w:w="4508" w:type="dxa"/>
          </w:tcPr>
          <w:p w14:paraId="120B193F" w14:textId="52C40B7B" w:rsidR="00CB0DA1" w:rsidRDefault="00CB0DA1" w:rsidP="68B6AEE3">
            <w:pPr>
              <w:rPr>
                <w:b/>
                <w:bCs/>
              </w:rPr>
            </w:pPr>
            <w:r w:rsidRPr="68B6AEE3">
              <w:rPr>
                <w:b/>
                <w:bCs/>
              </w:rPr>
              <w:t>Project supervisor (name, department):</w:t>
            </w:r>
          </w:p>
        </w:tc>
        <w:tc>
          <w:tcPr>
            <w:tcW w:w="4508" w:type="dxa"/>
          </w:tcPr>
          <w:p w14:paraId="4ED43CF5" w14:textId="24F1E48D" w:rsidR="00CB0DA1" w:rsidRDefault="00BB22A7">
            <w:r>
              <w:t>Dr Hollie Marshall, Department of Genetics and Genome Biology</w:t>
            </w:r>
          </w:p>
        </w:tc>
      </w:tr>
      <w:tr w:rsidR="00CB0DA1" w14:paraId="2EF3F056" w14:textId="77777777" w:rsidTr="68B6AEE3">
        <w:tc>
          <w:tcPr>
            <w:tcW w:w="4508" w:type="dxa"/>
          </w:tcPr>
          <w:p w14:paraId="33661AA5" w14:textId="78133D95" w:rsidR="00CB0DA1" w:rsidRDefault="00CB0DA1" w:rsidP="68B6AEE3">
            <w:pPr>
              <w:rPr>
                <w:b/>
                <w:bCs/>
              </w:rPr>
            </w:pPr>
            <w:r w:rsidRPr="68B6AEE3">
              <w:rPr>
                <w:b/>
                <w:bCs/>
              </w:rPr>
              <w:t>Project enquiries (supervisor email):</w:t>
            </w:r>
          </w:p>
        </w:tc>
        <w:tc>
          <w:tcPr>
            <w:tcW w:w="4508" w:type="dxa"/>
          </w:tcPr>
          <w:p w14:paraId="6F190C26" w14:textId="08CDFDFD" w:rsidR="00CB0DA1" w:rsidRDefault="00FD7D7E">
            <w:hyperlink r:id="rId10" w:history="1">
              <w:r w:rsidR="00BB22A7" w:rsidRPr="00D60882">
                <w:rPr>
                  <w:rStyle w:val="Hyperlink"/>
                </w:rPr>
                <w:t>Hjm32@leicester.ac.uk</w:t>
              </w:r>
            </w:hyperlink>
          </w:p>
        </w:tc>
      </w:tr>
      <w:tr w:rsidR="00CB0DA1" w14:paraId="63C36B3C" w14:textId="77777777" w:rsidTr="68B6AEE3">
        <w:tc>
          <w:tcPr>
            <w:tcW w:w="4508" w:type="dxa"/>
          </w:tcPr>
          <w:p w14:paraId="5F57E7AF" w14:textId="6A331C44" w:rsidR="00CB0DA1" w:rsidRDefault="00CB0DA1" w:rsidP="68B6AEE3">
            <w:pPr>
              <w:rPr>
                <w:b/>
                <w:bCs/>
              </w:rPr>
            </w:pPr>
            <w:r w:rsidRPr="68B6AEE3">
              <w:rPr>
                <w:b/>
                <w:bCs/>
              </w:rPr>
              <w:t>Co-Supervisor, if any (name, department):</w:t>
            </w:r>
          </w:p>
        </w:tc>
        <w:tc>
          <w:tcPr>
            <w:tcW w:w="4508" w:type="dxa"/>
          </w:tcPr>
          <w:p w14:paraId="4A60199D" w14:textId="28921AB5" w:rsidR="00CB0DA1" w:rsidRDefault="00FD7D7E">
            <w:r>
              <w:t xml:space="preserve">Prof Eamonn Mallon, </w:t>
            </w:r>
            <w:r>
              <w:t>Department of Genetics and Genome Biology</w:t>
            </w:r>
          </w:p>
        </w:tc>
      </w:tr>
      <w:tr w:rsidR="00CB0DA1" w14:paraId="50610C2E" w14:textId="77777777" w:rsidTr="68B6AEE3">
        <w:tc>
          <w:tcPr>
            <w:tcW w:w="4508" w:type="dxa"/>
          </w:tcPr>
          <w:p w14:paraId="5AF5B669" w14:textId="0B38208D" w:rsidR="00CB0DA1" w:rsidRDefault="00CB0DA1" w:rsidP="68B6AEE3">
            <w:pPr>
              <w:rPr>
                <w:b/>
                <w:bCs/>
              </w:rPr>
            </w:pPr>
            <w:r w:rsidRPr="68B6AEE3">
              <w:rPr>
                <w:b/>
                <w:bCs/>
              </w:rPr>
              <w:t>Proposed start date:</w:t>
            </w:r>
          </w:p>
        </w:tc>
        <w:tc>
          <w:tcPr>
            <w:tcW w:w="4508" w:type="dxa"/>
          </w:tcPr>
          <w:p w14:paraId="1F63BD47" w14:textId="548444B7" w:rsidR="00CB0DA1" w:rsidRDefault="00BB22A7">
            <w:r>
              <w:t>Negotiable (</w:t>
            </w:r>
            <w:r w:rsidR="009C524F">
              <w:t xml:space="preserve">suggestion: </w:t>
            </w:r>
            <w:r>
              <w:t>June 17</w:t>
            </w:r>
            <w:r w:rsidRPr="00BB22A7">
              <w:rPr>
                <w:vertAlign w:val="superscript"/>
              </w:rPr>
              <w:t>th</w:t>
            </w:r>
            <w:r>
              <w:t>)</w:t>
            </w:r>
          </w:p>
        </w:tc>
      </w:tr>
      <w:tr w:rsidR="00CB0DA1" w14:paraId="08B7788C" w14:textId="77777777" w:rsidTr="68B6AEE3">
        <w:tc>
          <w:tcPr>
            <w:tcW w:w="9016" w:type="dxa"/>
            <w:gridSpan w:val="2"/>
          </w:tcPr>
          <w:p w14:paraId="738EDC94" w14:textId="7278212D" w:rsidR="00CB0DA1" w:rsidRDefault="00CB0DA1">
            <w:r w:rsidRPr="68B6AEE3">
              <w:rPr>
                <w:b/>
                <w:bCs/>
              </w:rPr>
              <w:t>Project description</w:t>
            </w:r>
            <w:r>
              <w:t xml:space="preserve"> (max 700 words, 1-2 figures may be included):</w:t>
            </w:r>
          </w:p>
          <w:p w14:paraId="7855305A" w14:textId="561A06BF" w:rsidR="00E55F50" w:rsidRDefault="00E55F50" w:rsidP="68B6AEE3">
            <w:pPr>
              <w:rPr>
                <w:rFonts w:eastAsiaTheme="minorEastAsia"/>
              </w:rPr>
            </w:pPr>
          </w:p>
          <w:p w14:paraId="1666B669" w14:textId="77777777" w:rsidR="00BB22A7" w:rsidRDefault="00BB22A7" w:rsidP="00BB22A7">
            <w:pPr>
              <w:autoSpaceDE w:val="0"/>
              <w:autoSpaceDN w:val="0"/>
              <w:adjustRightInd w:val="0"/>
              <w:rPr>
                <w:rFonts w:asciiTheme="majorHAnsi" w:eastAsia="NimbusSanL-Regu" w:hAnsiTheme="majorHAnsi" w:cstheme="majorHAnsi"/>
                <w:sz w:val="24"/>
                <w:szCs w:val="24"/>
              </w:rPr>
            </w:pPr>
            <w:r w:rsidRPr="000E0483">
              <w:rPr>
                <w:rFonts w:asciiTheme="majorHAnsi" w:eastAsia="NimbusSanL-Regu" w:hAnsiTheme="majorHAnsi" w:cstheme="majorHAnsi"/>
                <w:sz w:val="24"/>
                <w:szCs w:val="24"/>
              </w:rPr>
              <w:t>It has only recently become apparent that ancestral pollutant exposure can cause negative population health outcomes in future generations no longer exposed, and that these populations show a lower ability to cope with novel environmental stress. This has serious implications for species conservation efforts, as removal of environmental pollution alone, may not be enough to rescue declining populations.</w:t>
            </w:r>
            <w:r>
              <w:rPr>
                <w:rFonts w:asciiTheme="majorHAnsi" w:eastAsia="NimbusSanL-Regu" w:hAnsiTheme="majorHAnsi" w:cstheme="majorHAnsi"/>
                <w:sz w:val="24"/>
                <w:szCs w:val="24"/>
              </w:rPr>
              <w:t xml:space="preserve"> </w:t>
            </w:r>
            <w:r w:rsidRPr="000E0483">
              <w:rPr>
                <w:rFonts w:asciiTheme="majorHAnsi" w:eastAsia="NimbusSanL-Regu" w:hAnsiTheme="majorHAnsi" w:cstheme="majorHAnsi"/>
                <w:sz w:val="24"/>
                <w:szCs w:val="24"/>
              </w:rPr>
              <w:t>In order to develop tools for predicting future population health outcomes, we need to understand how environmental information can be passed from one generation to the next.</w:t>
            </w:r>
          </w:p>
          <w:p w14:paraId="64A1FFA7" w14:textId="77777777" w:rsidR="00BB22A7" w:rsidRDefault="00BB22A7" w:rsidP="00BB22A7">
            <w:pPr>
              <w:autoSpaceDE w:val="0"/>
              <w:autoSpaceDN w:val="0"/>
              <w:adjustRightInd w:val="0"/>
              <w:rPr>
                <w:rFonts w:asciiTheme="majorHAnsi" w:eastAsia="NimbusSanL-Regu" w:hAnsiTheme="majorHAnsi" w:cstheme="majorHAnsi"/>
                <w:sz w:val="24"/>
                <w:szCs w:val="24"/>
              </w:rPr>
            </w:pPr>
          </w:p>
          <w:p w14:paraId="6C947836" w14:textId="4A9C6366" w:rsidR="00BB22A7" w:rsidRDefault="00BB22A7" w:rsidP="00BB22A7">
            <w:pPr>
              <w:autoSpaceDE w:val="0"/>
              <w:autoSpaceDN w:val="0"/>
              <w:adjustRightInd w:val="0"/>
              <w:rPr>
                <w:rFonts w:asciiTheme="majorHAnsi" w:eastAsia="NimbusSanL-Regu" w:hAnsiTheme="majorHAnsi" w:cstheme="majorHAnsi"/>
                <w:sz w:val="24"/>
                <w:szCs w:val="24"/>
              </w:rPr>
            </w:pPr>
            <w:r w:rsidRPr="000E0483">
              <w:rPr>
                <w:rFonts w:asciiTheme="majorHAnsi" w:eastAsia="NimbusSanL-Regu" w:hAnsiTheme="majorHAnsi" w:cstheme="majorHAnsi"/>
                <w:sz w:val="24"/>
                <w:szCs w:val="24"/>
              </w:rPr>
              <w:t xml:space="preserve">Epigenetic mechanisms, such as DNA methylation, provide a means </w:t>
            </w:r>
            <w:r>
              <w:rPr>
                <w:rFonts w:asciiTheme="majorHAnsi" w:eastAsia="NimbusSanL-Regu" w:hAnsiTheme="majorHAnsi" w:cstheme="majorHAnsi"/>
                <w:sz w:val="24"/>
                <w:szCs w:val="24"/>
              </w:rPr>
              <w:t>of transmitting information about the environment to new generations. DNA methylation is the addition of a methyl-group to a cytosine nucleotide. In many species this epigenetic mark directly regulate</w:t>
            </w:r>
            <w:r w:rsidR="00D36AE0">
              <w:rPr>
                <w:rFonts w:asciiTheme="majorHAnsi" w:eastAsia="NimbusSanL-Regu" w:hAnsiTheme="majorHAnsi" w:cstheme="majorHAnsi"/>
                <w:sz w:val="24"/>
                <w:szCs w:val="24"/>
              </w:rPr>
              <w:t xml:space="preserve">s </w:t>
            </w:r>
            <w:r>
              <w:rPr>
                <w:rFonts w:asciiTheme="majorHAnsi" w:eastAsia="NimbusSanL-Regu" w:hAnsiTheme="majorHAnsi" w:cstheme="majorHAnsi"/>
                <w:sz w:val="24"/>
                <w:szCs w:val="24"/>
              </w:rPr>
              <w:t>gene expression. However, more recently</w:t>
            </w:r>
            <w:r w:rsidR="009920A0">
              <w:rPr>
                <w:rFonts w:asciiTheme="majorHAnsi" w:eastAsia="NimbusSanL-Regu" w:hAnsiTheme="majorHAnsi" w:cstheme="majorHAnsi"/>
                <w:sz w:val="24"/>
                <w:szCs w:val="24"/>
              </w:rPr>
              <w:t>,</w:t>
            </w:r>
            <w:r>
              <w:rPr>
                <w:rFonts w:asciiTheme="majorHAnsi" w:eastAsia="NimbusSanL-Regu" w:hAnsiTheme="majorHAnsi" w:cstheme="majorHAnsi"/>
                <w:sz w:val="24"/>
                <w:szCs w:val="24"/>
              </w:rPr>
              <w:t xml:space="preserve"> it has become apparent that it can also play a role of mediating transgenerational health and </w:t>
            </w:r>
            <w:r w:rsidR="00D36AE0">
              <w:rPr>
                <w:rFonts w:asciiTheme="majorHAnsi" w:eastAsia="NimbusSanL-Regu" w:hAnsiTheme="majorHAnsi" w:cstheme="majorHAnsi"/>
                <w:sz w:val="24"/>
                <w:szCs w:val="24"/>
              </w:rPr>
              <w:t xml:space="preserve">may be involved in how species adapt to novel environmental stress.  </w:t>
            </w:r>
          </w:p>
          <w:p w14:paraId="57C412AF" w14:textId="180D9FE3" w:rsidR="00D36AE0" w:rsidRDefault="00D36AE0" w:rsidP="00BB22A7">
            <w:pPr>
              <w:autoSpaceDE w:val="0"/>
              <w:autoSpaceDN w:val="0"/>
              <w:adjustRightInd w:val="0"/>
              <w:rPr>
                <w:rFonts w:asciiTheme="majorHAnsi" w:eastAsia="NimbusSanL-Regu" w:hAnsiTheme="majorHAnsi" w:cstheme="majorHAnsi"/>
                <w:sz w:val="24"/>
                <w:szCs w:val="24"/>
              </w:rPr>
            </w:pPr>
          </w:p>
          <w:p w14:paraId="5DBB98E9" w14:textId="2000A43D" w:rsidR="00D36AE0" w:rsidRDefault="00D36AE0" w:rsidP="00BB22A7">
            <w:pPr>
              <w:autoSpaceDE w:val="0"/>
              <w:autoSpaceDN w:val="0"/>
              <w:adjustRightInd w:val="0"/>
              <w:rPr>
                <w:rFonts w:asciiTheme="majorHAnsi" w:eastAsia="NimbusSanL-Regu" w:hAnsiTheme="majorHAnsi" w:cstheme="majorHAnsi"/>
                <w:sz w:val="24"/>
                <w:szCs w:val="24"/>
              </w:rPr>
            </w:pPr>
            <w:r>
              <w:rPr>
                <w:rFonts w:asciiTheme="majorHAnsi" w:eastAsia="NimbusSanL-Regu" w:hAnsiTheme="majorHAnsi" w:cstheme="majorHAnsi"/>
                <w:sz w:val="24"/>
                <w:szCs w:val="24"/>
              </w:rPr>
              <w:t xml:space="preserve">To examine the role of DNA methylation in the transgenerational response to pollutant exposure, we must first understand how DNA methylation initially changes within an exposed individual. The aim of this project is to examine </w:t>
            </w:r>
            <w:r w:rsidR="002E0A9B">
              <w:rPr>
                <w:rFonts w:asciiTheme="majorHAnsi" w:eastAsia="NimbusSanL-Regu" w:hAnsiTheme="majorHAnsi" w:cstheme="majorHAnsi"/>
                <w:sz w:val="24"/>
                <w:szCs w:val="24"/>
              </w:rPr>
              <w:t>pollutant-induced DNA methylation changes in key genes within a model epigenetic invertebrate species.</w:t>
            </w:r>
          </w:p>
          <w:p w14:paraId="53A96F75" w14:textId="2625B74B" w:rsidR="002E0A9B" w:rsidRDefault="002E0A9B" w:rsidP="00BB22A7">
            <w:pPr>
              <w:autoSpaceDE w:val="0"/>
              <w:autoSpaceDN w:val="0"/>
              <w:adjustRightInd w:val="0"/>
              <w:rPr>
                <w:rFonts w:asciiTheme="majorHAnsi" w:eastAsia="NimbusSanL-Regu" w:hAnsiTheme="majorHAnsi" w:cstheme="majorHAnsi"/>
                <w:sz w:val="24"/>
                <w:szCs w:val="24"/>
              </w:rPr>
            </w:pPr>
          </w:p>
          <w:p w14:paraId="5820A820" w14:textId="7956C407" w:rsidR="002E0A9B" w:rsidRPr="001107F9" w:rsidRDefault="002E0A9B" w:rsidP="002E0A9B">
            <w:pPr>
              <w:shd w:val="clear" w:color="auto" w:fill="FFFFFF"/>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shd w:val="clear" w:color="auto" w:fill="FFFFFF"/>
                <w:lang w:eastAsia="en-GB"/>
              </w:rPr>
              <w:t>Specifically, this</w:t>
            </w:r>
            <w:r w:rsidRPr="001107F9">
              <w:rPr>
                <w:rFonts w:asciiTheme="majorHAnsi" w:eastAsia="Times New Roman" w:hAnsiTheme="majorHAnsi" w:cstheme="majorHAnsi"/>
                <w:color w:val="000000"/>
                <w:sz w:val="24"/>
                <w:szCs w:val="24"/>
                <w:shd w:val="clear" w:color="auto" w:fill="FFFFFF"/>
                <w:lang w:eastAsia="en-GB"/>
              </w:rPr>
              <w:t xml:space="preserve"> project will examine the phenotypic effects (mortality, fecundity, growth) of </w:t>
            </w:r>
            <w:r>
              <w:rPr>
                <w:rFonts w:asciiTheme="majorHAnsi" w:eastAsia="Times New Roman" w:hAnsiTheme="majorHAnsi" w:cstheme="majorHAnsi"/>
                <w:color w:val="000000"/>
                <w:sz w:val="24"/>
                <w:szCs w:val="24"/>
                <w:shd w:val="clear" w:color="auto" w:fill="FFFFFF"/>
                <w:lang w:eastAsia="en-GB"/>
              </w:rPr>
              <w:t>pollutant</w:t>
            </w:r>
            <w:r w:rsidRPr="001107F9">
              <w:rPr>
                <w:rFonts w:asciiTheme="majorHAnsi" w:eastAsia="Times New Roman" w:hAnsiTheme="majorHAnsi" w:cstheme="majorHAnsi"/>
                <w:color w:val="000000"/>
                <w:sz w:val="24"/>
                <w:szCs w:val="24"/>
                <w:shd w:val="clear" w:color="auto" w:fill="FFFFFF"/>
                <w:lang w:eastAsia="en-GB"/>
              </w:rPr>
              <w:t xml:space="preserve"> exposure and identify any </w:t>
            </w:r>
            <w:r w:rsidRPr="000E0483">
              <w:rPr>
                <w:rFonts w:asciiTheme="majorHAnsi" w:eastAsia="Times New Roman" w:hAnsiTheme="majorHAnsi" w:cstheme="majorHAnsi"/>
                <w:color w:val="000000"/>
                <w:sz w:val="24"/>
                <w:szCs w:val="24"/>
                <w:shd w:val="clear" w:color="auto" w:fill="FFFFFF"/>
                <w:lang w:eastAsia="en-GB"/>
              </w:rPr>
              <w:t>pollutant-</w:t>
            </w:r>
            <w:r w:rsidRPr="001107F9">
              <w:rPr>
                <w:rFonts w:asciiTheme="majorHAnsi" w:eastAsia="Times New Roman" w:hAnsiTheme="majorHAnsi" w:cstheme="majorHAnsi"/>
                <w:color w:val="000000"/>
                <w:sz w:val="24"/>
                <w:szCs w:val="24"/>
                <w:shd w:val="clear" w:color="auto" w:fill="FFFFFF"/>
                <w:lang w:eastAsia="en-GB"/>
              </w:rPr>
              <w:t>induced DNA methylation changes in key genes</w:t>
            </w:r>
            <w:r>
              <w:rPr>
                <w:rFonts w:asciiTheme="majorHAnsi" w:eastAsia="Times New Roman" w:hAnsiTheme="majorHAnsi" w:cstheme="majorHAnsi"/>
                <w:color w:val="000000"/>
                <w:sz w:val="24"/>
                <w:szCs w:val="24"/>
                <w:shd w:val="clear" w:color="auto" w:fill="FFFFFF"/>
                <w:lang w:eastAsia="en-GB"/>
              </w:rPr>
              <w:t xml:space="preserve"> via </w:t>
            </w:r>
            <w:proofErr w:type="spellStart"/>
            <w:r>
              <w:rPr>
                <w:rFonts w:asciiTheme="majorHAnsi" w:eastAsia="Times New Roman" w:hAnsiTheme="majorHAnsi" w:cstheme="majorHAnsi"/>
                <w:color w:val="000000"/>
                <w:sz w:val="24"/>
                <w:szCs w:val="24"/>
                <w:shd w:val="clear" w:color="auto" w:fill="FFFFFF"/>
                <w:lang w:eastAsia="en-GB"/>
              </w:rPr>
              <w:t>bisulfite</w:t>
            </w:r>
            <w:proofErr w:type="spellEnd"/>
            <w:r>
              <w:rPr>
                <w:rFonts w:asciiTheme="majorHAnsi" w:eastAsia="Times New Roman" w:hAnsiTheme="majorHAnsi" w:cstheme="majorHAnsi"/>
                <w:color w:val="000000"/>
                <w:sz w:val="24"/>
                <w:szCs w:val="24"/>
                <w:shd w:val="clear" w:color="auto" w:fill="FFFFFF"/>
                <w:lang w:eastAsia="en-GB"/>
              </w:rPr>
              <w:t>-PCR</w:t>
            </w:r>
            <w:r w:rsidRPr="001107F9">
              <w:rPr>
                <w:rFonts w:asciiTheme="majorHAnsi" w:eastAsia="Times New Roman" w:hAnsiTheme="majorHAnsi" w:cstheme="majorHAnsi"/>
                <w:color w:val="000000"/>
                <w:sz w:val="24"/>
                <w:szCs w:val="24"/>
                <w:shd w:val="clear" w:color="auto" w:fill="FFFFFF"/>
                <w:lang w:eastAsia="en-GB"/>
              </w:rPr>
              <w:t>. You will have a choice of species/pollutant based on your personal interests.</w:t>
            </w:r>
          </w:p>
          <w:p w14:paraId="160C3B6D" w14:textId="59D0A3B6" w:rsidR="00B74B4A" w:rsidRPr="001107F9"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sidRPr="001107F9">
              <w:rPr>
                <w:rFonts w:asciiTheme="majorHAnsi" w:eastAsia="Times New Roman" w:hAnsiTheme="majorHAnsi" w:cstheme="majorHAnsi"/>
                <w:b/>
                <w:bCs/>
                <w:color w:val="000000"/>
                <w:sz w:val="24"/>
                <w:szCs w:val="24"/>
                <w:lang w:eastAsia="en-GB"/>
              </w:rPr>
              <w:t>Species available</w:t>
            </w:r>
            <w:r w:rsidR="00680247">
              <w:rPr>
                <w:rFonts w:asciiTheme="majorHAnsi" w:eastAsia="Times New Roman" w:hAnsiTheme="majorHAnsi" w:cstheme="majorHAnsi"/>
                <w:b/>
                <w:bCs/>
                <w:color w:val="000000"/>
                <w:sz w:val="24"/>
                <w:szCs w:val="24"/>
                <w:lang w:eastAsia="en-GB"/>
              </w:rPr>
              <w:t xml:space="preserve"> (Fig.1)</w:t>
            </w:r>
            <w:r w:rsidRPr="001107F9">
              <w:rPr>
                <w:rFonts w:asciiTheme="majorHAnsi" w:eastAsia="Times New Roman" w:hAnsiTheme="majorHAnsi" w:cstheme="majorHAnsi"/>
                <w:b/>
                <w:bCs/>
                <w:color w:val="000000"/>
                <w:sz w:val="24"/>
                <w:szCs w:val="24"/>
                <w:lang w:eastAsia="en-GB"/>
              </w:rPr>
              <w:t>:</w:t>
            </w:r>
          </w:p>
          <w:p w14:paraId="6E50901F" w14:textId="7760EF1C" w:rsidR="00B74B4A"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roofErr w:type="spellStart"/>
            <w:r w:rsidRPr="001107F9">
              <w:rPr>
                <w:rFonts w:asciiTheme="majorHAnsi" w:eastAsia="Times New Roman" w:hAnsiTheme="majorHAnsi" w:cstheme="majorHAnsi"/>
                <w:i/>
                <w:iCs/>
                <w:color w:val="000000"/>
                <w:sz w:val="24"/>
                <w:szCs w:val="24"/>
                <w:lang w:eastAsia="en-GB"/>
              </w:rPr>
              <w:t>Nasonia</w:t>
            </w:r>
            <w:proofErr w:type="spellEnd"/>
            <w:r w:rsidRPr="001107F9">
              <w:rPr>
                <w:rFonts w:asciiTheme="majorHAnsi" w:eastAsia="Times New Roman" w:hAnsiTheme="majorHAnsi" w:cstheme="majorHAnsi"/>
                <w:i/>
                <w:iCs/>
                <w:color w:val="000000"/>
                <w:sz w:val="24"/>
                <w:szCs w:val="24"/>
                <w:lang w:eastAsia="en-GB"/>
              </w:rPr>
              <w:t xml:space="preserve"> </w:t>
            </w:r>
            <w:proofErr w:type="spellStart"/>
            <w:r w:rsidRPr="001107F9">
              <w:rPr>
                <w:rFonts w:asciiTheme="majorHAnsi" w:eastAsia="Times New Roman" w:hAnsiTheme="majorHAnsi" w:cstheme="majorHAnsi"/>
                <w:i/>
                <w:iCs/>
                <w:color w:val="000000"/>
                <w:sz w:val="24"/>
                <w:szCs w:val="24"/>
                <w:lang w:eastAsia="en-GB"/>
              </w:rPr>
              <w:t>vitripennis</w:t>
            </w:r>
            <w:proofErr w:type="spellEnd"/>
            <w:r w:rsidRPr="001107F9">
              <w:rPr>
                <w:rFonts w:asciiTheme="majorHAnsi" w:eastAsia="Times New Roman" w:hAnsiTheme="majorHAnsi" w:cstheme="majorHAnsi"/>
                <w:color w:val="000000"/>
                <w:sz w:val="24"/>
                <w:szCs w:val="24"/>
                <w:lang w:eastAsia="en-GB"/>
              </w:rPr>
              <w:t> (terrestrial insect)</w:t>
            </w:r>
          </w:p>
          <w:p w14:paraId="23B5F910" w14:textId="28960A60" w:rsidR="00B74B4A" w:rsidRPr="001107F9"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sidRPr="001107F9">
              <w:rPr>
                <w:rFonts w:asciiTheme="majorHAnsi" w:eastAsia="Times New Roman" w:hAnsiTheme="majorHAnsi" w:cstheme="majorHAnsi"/>
                <w:i/>
                <w:iCs/>
                <w:color w:val="000000"/>
                <w:sz w:val="24"/>
                <w:szCs w:val="24"/>
                <w:lang w:eastAsia="en-GB"/>
              </w:rPr>
              <w:t>Daphnia magna</w:t>
            </w:r>
            <w:r w:rsidRPr="001107F9">
              <w:rPr>
                <w:rFonts w:asciiTheme="majorHAnsi" w:eastAsia="Times New Roman" w:hAnsiTheme="majorHAnsi" w:cstheme="majorHAnsi"/>
                <w:color w:val="000000"/>
                <w:sz w:val="24"/>
                <w:szCs w:val="24"/>
                <w:lang w:eastAsia="en-GB"/>
              </w:rPr>
              <w:t> (freshwater crustacean)</w:t>
            </w:r>
          </w:p>
          <w:p w14:paraId="1720A1C6" w14:textId="3139DC47" w:rsidR="00B74B4A"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roofErr w:type="spellStart"/>
            <w:r w:rsidRPr="001107F9">
              <w:rPr>
                <w:rFonts w:asciiTheme="majorHAnsi" w:eastAsia="Times New Roman" w:hAnsiTheme="majorHAnsi" w:cstheme="majorHAnsi"/>
                <w:i/>
                <w:iCs/>
                <w:color w:val="000000"/>
                <w:sz w:val="24"/>
                <w:szCs w:val="24"/>
                <w:lang w:eastAsia="en-GB"/>
              </w:rPr>
              <w:lastRenderedPageBreak/>
              <w:t>Parhyale</w:t>
            </w:r>
            <w:proofErr w:type="spellEnd"/>
            <w:r w:rsidRPr="001107F9">
              <w:rPr>
                <w:rFonts w:asciiTheme="majorHAnsi" w:eastAsia="Times New Roman" w:hAnsiTheme="majorHAnsi" w:cstheme="majorHAnsi"/>
                <w:i/>
                <w:iCs/>
                <w:color w:val="000000"/>
                <w:sz w:val="24"/>
                <w:szCs w:val="24"/>
                <w:lang w:eastAsia="en-GB"/>
              </w:rPr>
              <w:t xml:space="preserve"> </w:t>
            </w:r>
            <w:proofErr w:type="spellStart"/>
            <w:r w:rsidRPr="001107F9">
              <w:rPr>
                <w:rFonts w:asciiTheme="majorHAnsi" w:eastAsia="Times New Roman" w:hAnsiTheme="majorHAnsi" w:cstheme="majorHAnsi"/>
                <w:i/>
                <w:iCs/>
                <w:color w:val="000000"/>
                <w:sz w:val="24"/>
                <w:szCs w:val="24"/>
                <w:lang w:eastAsia="en-GB"/>
              </w:rPr>
              <w:t>hawaiensis</w:t>
            </w:r>
            <w:proofErr w:type="spellEnd"/>
            <w:r w:rsidRPr="001107F9">
              <w:rPr>
                <w:rFonts w:asciiTheme="majorHAnsi" w:eastAsia="Times New Roman" w:hAnsiTheme="majorHAnsi" w:cstheme="majorHAnsi"/>
                <w:color w:val="000000"/>
                <w:sz w:val="24"/>
                <w:szCs w:val="24"/>
                <w:lang w:eastAsia="en-GB"/>
              </w:rPr>
              <w:t> (marine amphipod)</w:t>
            </w:r>
          </w:p>
          <w:p w14:paraId="07696A6B" w14:textId="335D7BEE" w:rsidR="00B74B4A" w:rsidRPr="001107F9"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sidRPr="001107F9">
              <w:rPr>
                <w:rFonts w:asciiTheme="majorHAnsi" w:eastAsia="Times New Roman" w:hAnsiTheme="majorHAnsi" w:cstheme="majorHAnsi"/>
                <w:b/>
                <w:bCs/>
                <w:color w:val="000000"/>
                <w:sz w:val="24"/>
                <w:szCs w:val="24"/>
                <w:lang w:eastAsia="en-GB"/>
              </w:rPr>
              <w:t>Pollutants available:</w:t>
            </w:r>
          </w:p>
          <w:p w14:paraId="72244AC8" w14:textId="794DCD58" w:rsidR="00B74B4A" w:rsidRPr="001107F9"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sidRPr="001107F9">
              <w:rPr>
                <w:rFonts w:asciiTheme="majorHAnsi" w:eastAsia="Times New Roman" w:hAnsiTheme="majorHAnsi" w:cstheme="majorHAnsi"/>
                <w:color w:val="000000"/>
                <w:sz w:val="24"/>
                <w:szCs w:val="24"/>
                <w:lang w:eastAsia="en-GB"/>
              </w:rPr>
              <w:t>Glyphosate (agricultural herbicide)</w:t>
            </w:r>
          </w:p>
          <w:p w14:paraId="7555D888" w14:textId="3194FAC9" w:rsidR="00B74B4A" w:rsidRPr="001107F9"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sidRPr="001107F9">
              <w:rPr>
                <w:rFonts w:asciiTheme="majorHAnsi" w:eastAsia="Times New Roman" w:hAnsiTheme="majorHAnsi" w:cstheme="majorHAnsi"/>
                <w:color w:val="000000"/>
                <w:sz w:val="24"/>
                <w:szCs w:val="24"/>
                <w:lang w:eastAsia="en-GB"/>
              </w:rPr>
              <w:t>Polypropylene (microplastic)</w:t>
            </w:r>
          </w:p>
          <w:p w14:paraId="09BE1604" w14:textId="56471013" w:rsidR="00E55F50"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Pr>
                <w:rFonts w:asciiTheme="majorHAnsi" w:eastAsia="Times New Roman" w:hAnsiTheme="majorHAnsi" w:cstheme="majorHAnsi"/>
                <w:noProof/>
                <w:color w:val="000000"/>
                <w:sz w:val="24"/>
                <w:szCs w:val="24"/>
                <w:lang w:eastAsia="en-GB"/>
              </w:rPr>
              <w:drawing>
                <wp:anchor distT="0" distB="0" distL="114300" distR="114300" simplePos="0" relativeHeight="251658240" behindDoc="1" locked="0" layoutInCell="1" allowOverlap="1" wp14:anchorId="75228EFA" wp14:editId="6EEEE3D6">
                  <wp:simplePos x="0" y="0"/>
                  <wp:positionH relativeFrom="column">
                    <wp:posOffset>-62230</wp:posOffset>
                  </wp:positionH>
                  <wp:positionV relativeFrom="paragraph">
                    <wp:posOffset>388620</wp:posOffset>
                  </wp:positionV>
                  <wp:extent cx="4124325" cy="2600325"/>
                  <wp:effectExtent l="0" t="0" r="9525" b="9525"/>
                  <wp:wrapTight wrapText="bothSides">
                    <wp:wrapPolygon edited="0">
                      <wp:start x="0" y="0"/>
                      <wp:lineTo x="0" y="21521"/>
                      <wp:lineTo x="21550" y="21521"/>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B4A" w:rsidRPr="001107F9">
              <w:rPr>
                <w:rFonts w:asciiTheme="majorHAnsi" w:eastAsia="Times New Roman" w:hAnsiTheme="majorHAnsi" w:cstheme="majorHAnsi"/>
                <w:color w:val="000000"/>
                <w:sz w:val="24"/>
                <w:szCs w:val="24"/>
                <w:lang w:eastAsia="en-GB"/>
              </w:rPr>
              <w:t>4-nonylphenol (endocrine disruptor from sewage)</w:t>
            </w:r>
          </w:p>
          <w:p w14:paraId="7BF063AE" w14:textId="77777777" w:rsidR="00B74B4A" w:rsidRDefault="00B74B4A"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5CBF9D5F"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6A75EFFB"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785CBD32"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75584CF6"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692A4B9C"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1B28695B" w14:textId="77777777" w:rsidR="002F652D"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1694518B" w14:textId="77777777" w:rsidR="00680247" w:rsidRDefault="00680247"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p>
          <w:p w14:paraId="75B054F0" w14:textId="342550AA" w:rsidR="002F652D" w:rsidRPr="00B74B4A" w:rsidRDefault="002F652D" w:rsidP="00B74B4A">
            <w:pPr>
              <w:shd w:val="clear" w:color="auto" w:fill="FFFFFF"/>
              <w:spacing w:before="100" w:beforeAutospacing="1" w:after="100" w:afterAutospacing="1"/>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Figure 1: top left: </w:t>
            </w:r>
            <w:proofErr w:type="spellStart"/>
            <w:r w:rsidRPr="00680247">
              <w:rPr>
                <w:rFonts w:asciiTheme="majorHAnsi" w:eastAsia="Times New Roman" w:hAnsiTheme="majorHAnsi" w:cstheme="majorHAnsi"/>
                <w:i/>
                <w:iCs/>
                <w:color w:val="000000"/>
                <w:sz w:val="24"/>
                <w:szCs w:val="24"/>
                <w:lang w:eastAsia="en-GB"/>
              </w:rPr>
              <w:t>Parhyale</w:t>
            </w:r>
            <w:proofErr w:type="spellEnd"/>
            <w:r w:rsidRPr="00680247">
              <w:rPr>
                <w:rFonts w:asciiTheme="majorHAnsi" w:eastAsia="Times New Roman" w:hAnsiTheme="majorHAnsi" w:cstheme="majorHAnsi"/>
                <w:i/>
                <w:iCs/>
                <w:color w:val="000000"/>
                <w:sz w:val="24"/>
                <w:szCs w:val="24"/>
                <w:lang w:eastAsia="en-GB"/>
              </w:rPr>
              <w:t xml:space="preserve"> </w:t>
            </w:r>
            <w:proofErr w:type="spellStart"/>
            <w:r w:rsidRPr="00680247">
              <w:rPr>
                <w:rFonts w:asciiTheme="majorHAnsi" w:eastAsia="Times New Roman" w:hAnsiTheme="majorHAnsi" w:cstheme="majorHAnsi"/>
                <w:i/>
                <w:iCs/>
                <w:color w:val="000000"/>
                <w:sz w:val="24"/>
                <w:szCs w:val="24"/>
                <w:lang w:eastAsia="en-GB"/>
              </w:rPr>
              <w:t>hawaiensis</w:t>
            </w:r>
            <w:proofErr w:type="spellEnd"/>
            <w:r>
              <w:rPr>
                <w:rFonts w:asciiTheme="majorHAnsi" w:eastAsia="Times New Roman" w:hAnsiTheme="majorHAnsi" w:cstheme="majorHAnsi"/>
                <w:color w:val="000000"/>
                <w:sz w:val="24"/>
                <w:szCs w:val="24"/>
                <w:lang w:eastAsia="en-GB"/>
              </w:rPr>
              <w:t xml:space="preserve">, bottom left: </w:t>
            </w:r>
            <w:proofErr w:type="spellStart"/>
            <w:r w:rsidRPr="00680247">
              <w:rPr>
                <w:rFonts w:asciiTheme="majorHAnsi" w:eastAsia="Times New Roman" w:hAnsiTheme="majorHAnsi" w:cstheme="majorHAnsi"/>
                <w:i/>
                <w:iCs/>
                <w:color w:val="000000"/>
                <w:sz w:val="24"/>
                <w:szCs w:val="24"/>
                <w:lang w:eastAsia="en-GB"/>
              </w:rPr>
              <w:t>Nasonia</w:t>
            </w:r>
            <w:proofErr w:type="spellEnd"/>
            <w:r w:rsidRPr="00680247">
              <w:rPr>
                <w:rFonts w:asciiTheme="majorHAnsi" w:eastAsia="Times New Roman" w:hAnsiTheme="majorHAnsi" w:cstheme="majorHAnsi"/>
                <w:i/>
                <w:iCs/>
                <w:color w:val="000000"/>
                <w:sz w:val="24"/>
                <w:szCs w:val="24"/>
                <w:lang w:eastAsia="en-GB"/>
              </w:rPr>
              <w:t xml:space="preserve"> </w:t>
            </w:r>
            <w:proofErr w:type="spellStart"/>
            <w:r w:rsidRPr="00680247">
              <w:rPr>
                <w:rFonts w:asciiTheme="majorHAnsi" w:eastAsia="Times New Roman" w:hAnsiTheme="majorHAnsi" w:cstheme="majorHAnsi"/>
                <w:i/>
                <w:iCs/>
                <w:color w:val="000000"/>
                <w:sz w:val="24"/>
                <w:szCs w:val="24"/>
                <w:lang w:eastAsia="en-GB"/>
              </w:rPr>
              <w:t>vitripennis</w:t>
            </w:r>
            <w:proofErr w:type="spellEnd"/>
            <w:r>
              <w:rPr>
                <w:rFonts w:asciiTheme="majorHAnsi" w:eastAsia="Times New Roman" w:hAnsiTheme="majorHAnsi" w:cstheme="majorHAnsi"/>
                <w:color w:val="000000"/>
                <w:sz w:val="24"/>
                <w:szCs w:val="24"/>
                <w:lang w:eastAsia="en-GB"/>
              </w:rPr>
              <w:t xml:space="preserve">, right: </w:t>
            </w:r>
            <w:r w:rsidRPr="00680247">
              <w:rPr>
                <w:rFonts w:asciiTheme="majorHAnsi" w:eastAsia="Times New Roman" w:hAnsiTheme="majorHAnsi" w:cstheme="majorHAnsi"/>
                <w:i/>
                <w:iCs/>
                <w:color w:val="000000"/>
                <w:sz w:val="24"/>
                <w:szCs w:val="24"/>
                <w:lang w:eastAsia="en-GB"/>
              </w:rPr>
              <w:t>Daphnia magna</w:t>
            </w:r>
            <w:r>
              <w:rPr>
                <w:rFonts w:asciiTheme="majorHAnsi" w:eastAsia="Times New Roman" w:hAnsiTheme="majorHAnsi" w:cstheme="majorHAnsi"/>
                <w:color w:val="000000"/>
                <w:sz w:val="24"/>
                <w:szCs w:val="24"/>
                <w:lang w:eastAsia="en-GB"/>
              </w:rPr>
              <w:t>.</w:t>
            </w:r>
          </w:p>
        </w:tc>
      </w:tr>
      <w:tr w:rsidR="00CB0DA1" w14:paraId="77C2AB3E" w14:textId="77777777" w:rsidTr="68B6AEE3">
        <w:tc>
          <w:tcPr>
            <w:tcW w:w="9016" w:type="dxa"/>
            <w:gridSpan w:val="2"/>
          </w:tcPr>
          <w:p w14:paraId="4E679B6E" w14:textId="415250E2" w:rsidR="00CB0DA1" w:rsidRDefault="00CB0DA1"/>
        </w:tc>
      </w:tr>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t>Project timeline:</w:t>
            </w:r>
          </w:p>
        </w:tc>
      </w:tr>
      <w:tr w:rsidR="00CB0DA1" w14:paraId="0458A5E7" w14:textId="77777777" w:rsidTr="68B6AEE3">
        <w:tc>
          <w:tcPr>
            <w:tcW w:w="9016" w:type="dxa"/>
            <w:gridSpan w:val="2"/>
          </w:tcPr>
          <w:p w14:paraId="12994D6E" w14:textId="77777777" w:rsidR="00CB0DA1" w:rsidRDefault="00CB0DA1"/>
          <w:p w14:paraId="05441E3A" w14:textId="659D8C6A" w:rsidR="00CB0DA1" w:rsidRDefault="00B74B4A">
            <w:r>
              <w:t>Week 1: Setting up your own invertebrate stock, trialling a DNA extraction, getting used to the lab</w:t>
            </w:r>
          </w:p>
          <w:p w14:paraId="314BE8D5" w14:textId="4A56AB6C" w:rsidR="00B74B4A" w:rsidRDefault="00B74B4A">
            <w:r>
              <w:t>Week 2: Setting up an exposure experiment, beginning phenotypic data collection, designing primers</w:t>
            </w:r>
          </w:p>
          <w:p w14:paraId="00F5A1E2" w14:textId="606B5865" w:rsidR="00B74B4A" w:rsidRDefault="00B74B4A">
            <w:r>
              <w:t xml:space="preserve">Week 3: Phenotypic data collection, trialling </w:t>
            </w:r>
            <w:proofErr w:type="spellStart"/>
            <w:r>
              <w:t>bisulfite</w:t>
            </w:r>
            <w:proofErr w:type="spellEnd"/>
            <w:r>
              <w:t xml:space="preserve"> treatment of DNA, trialling primers</w:t>
            </w:r>
          </w:p>
          <w:p w14:paraId="74D9ACB8" w14:textId="42E4029E" w:rsidR="00B74B4A" w:rsidRDefault="00B74B4A">
            <w:r>
              <w:t>Week 4: Phenotypic data collection, extracting DNA from your experiment</w:t>
            </w:r>
          </w:p>
          <w:p w14:paraId="04956E24" w14:textId="004BC95C" w:rsidR="00B74B4A" w:rsidRDefault="00B74B4A">
            <w:r>
              <w:t xml:space="preserve">Week 5: </w:t>
            </w:r>
            <w:proofErr w:type="spellStart"/>
            <w:r>
              <w:t>Bisulfite</w:t>
            </w:r>
            <w:proofErr w:type="spellEnd"/>
            <w:r>
              <w:t xml:space="preserve"> treatment of your DNA and PCR</w:t>
            </w:r>
          </w:p>
          <w:p w14:paraId="224531CA" w14:textId="481F0D59" w:rsidR="00B74B4A" w:rsidRDefault="00B74B4A">
            <w:r>
              <w:t>Week 6: Analysing your final phenotypic and PCR data</w:t>
            </w:r>
          </w:p>
          <w:p w14:paraId="35F848E6" w14:textId="77777777" w:rsidR="00CB0DA1" w:rsidRDefault="00CB0DA1"/>
          <w:p w14:paraId="7FABFEBD" w14:textId="3F157A0E" w:rsidR="00CB0DA1" w:rsidRDefault="00CB0DA1"/>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68B6AEE3">
        <w:tc>
          <w:tcPr>
            <w:tcW w:w="9016" w:type="dxa"/>
            <w:gridSpan w:val="2"/>
          </w:tcPr>
          <w:p w14:paraId="61810227" w14:textId="516B5AB8" w:rsidR="00CB0DA1" w:rsidRDefault="00B74B4A">
            <w:r>
              <w:t xml:space="preserve">At least one module </w:t>
            </w:r>
            <w:r w:rsidR="009920A0">
              <w:t xml:space="preserve">with some </w:t>
            </w:r>
            <w:r>
              <w:t>genetics which included at least one wet-lab practical</w:t>
            </w:r>
            <w:r w:rsidR="009920A0">
              <w:t xml:space="preserve">, </w:t>
            </w:r>
            <w:proofErr w:type="gramStart"/>
            <w:r w:rsidR="009920A0">
              <w:t>i.e.</w:t>
            </w:r>
            <w:proofErr w:type="gramEnd"/>
            <w:r w:rsidR="009920A0">
              <w:t xml:space="preserve"> they have heard of the PCR technique and know how to use a pipette. </w:t>
            </w:r>
          </w:p>
          <w:p w14:paraId="70EAB63C" w14:textId="4557144F" w:rsidR="68B6AEE3" w:rsidRDefault="68B6AEE3" w:rsidP="68B6AEE3"/>
          <w:p w14:paraId="3F2C85BE" w14:textId="5049F1D7" w:rsidR="00CB0DA1" w:rsidRDefault="00CB0DA1"/>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t>Background reading and references:</w:t>
            </w:r>
          </w:p>
        </w:tc>
      </w:tr>
      <w:tr w:rsidR="00CB0DA1" w14:paraId="6466E1C2" w14:textId="77777777" w:rsidTr="68B6AEE3">
        <w:tc>
          <w:tcPr>
            <w:tcW w:w="9016" w:type="dxa"/>
            <w:gridSpan w:val="2"/>
          </w:tcPr>
          <w:p w14:paraId="4C2721EE" w14:textId="77777777" w:rsidR="009920A0" w:rsidRDefault="009920A0" w:rsidP="009920A0">
            <w:pPr>
              <w:pStyle w:val="Default"/>
            </w:pPr>
          </w:p>
          <w:p w14:paraId="44CB5D1D" w14:textId="42EE5BD0" w:rsidR="00CB0DA1" w:rsidRPr="00E52D9D" w:rsidRDefault="009920A0" w:rsidP="009920A0">
            <w:pPr>
              <w:rPr>
                <w:sz w:val="20"/>
                <w:szCs w:val="20"/>
              </w:rPr>
            </w:pPr>
            <w:r w:rsidRPr="00E52D9D">
              <w:rPr>
                <w:sz w:val="20"/>
                <w:szCs w:val="20"/>
              </w:rPr>
              <w:t xml:space="preserve">Abdullahi, </w:t>
            </w:r>
            <w:r w:rsidRPr="00E52D9D">
              <w:rPr>
                <w:i/>
                <w:iCs/>
                <w:sz w:val="20"/>
                <w:szCs w:val="20"/>
              </w:rPr>
              <w:t xml:space="preserve">et al. </w:t>
            </w:r>
            <w:r w:rsidRPr="00E52D9D">
              <w:rPr>
                <w:sz w:val="20"/>
                <w:szCs w:val="20"/>
              </w:rPr>
              <w:t>(2022). Historical exposure to chemicals reduces tolerance to novel chemical stress in Daphnia (</w:t>
            </w:r>
            <w:proofErr w:type="spellStart"/>
            <w:r w:rsidRPr="00E52D9D">
              <w:rPr>
                <w:sz w:val="20"/>
                <w:szCs w:val="20"/>
              </w:rPr>
              <w:t>waterflea</w:t>
            </w:r>
            <w:proofErr w:type="spellEnd"/>
            <w:r w:rsidRPr="00E52D9D">
              <w:rPr>
                <w:sz w:val="20"/>
                <w:szCs w:val="20"/>
              </w:rPr>
              <w:t xml:space="preserve">). </w:t>
            </w:r>
            <w:r w:rsidRPr="00E52D9D">
              <w:rPr>
                <w:i/>
                <w:iCs/>
                <w:sz w:val="20"/>
                <w:szCs w:val="20"/>
              </w:rPr>
              <w:t xml:space="preserve">Molecular Ecology. </w:t>
            </w:r>
            <w:r w:rsidRPr="00E52D9D">
              <w:rPr>
                <w:sz w:val="20"/>
                <w:szCs w:val="20"/>
              </w:rPr>
              <w:t>31(11), p3098-3111.</w:t>
            </w:r>
          </w:p>
          <w:p w14:paraId="4D4516A6" w14:textId="6E82C135" w:rsidR="009920A0" w:rsidRPr="00E52D9D" w:rsidRDefault="009920A0" w:rsidP="009920A0">
            <w:pPr>
              <w:rPr>
                <w:sz w:val="20"/>
                <w:szCs w:val="20"/>
              </w:rPr>
            </w:pPr>
          </w:p>
          <w:p w14:paraId="293B0577" w14:textId="302B84BB" w:rsidR="009920A0" w:rsidRPr="00E52D9D" w:rsidRDefault="009920A0" w:rsidP="009920A0">
            <w:pPr>
              <w:tabs>
                <w:tab w:val="left" w:pos="720"/>
              </w:tabs>
              <w:contextualSpacing/>
              <w:rPr>
                <w:rFonts w:cstheme="minorHAnsi"/>
                <w:color w:val="000000"/>
                <w:sz w:val="20"/>
                <w:szCs w:val="20"/>
              </w:rPr>
            </w:pPr>
            <w:r w:rsidRPr="00E52D9D">
              <w:rPr>
                <w:rFonts w:cstheme="minorHAnsi"/>
                <w:color w:val="000000"/>
                <w:sz w:val="20"/>
                <w:szCs w:val="20"/>
              </w:rPr>
              <w:t xml:space="preserve">dos Santos </w:t>
            </w:r>
            <w:r w:rsidRPr="00E52D9D">
              <w:rPr>
                <w:rFonts w:cstheme="minorHAnsi"/>
                <w:i/>
                <w:iCs/>
                <w:color w:val="000000"/>
                <w:sz w:val="20"/>
                <w:szCs w:val="20"/>
              </w:rPr>
              <w:t>et al.</w:t>
            </w:r>
            <w:r w:rsidRPr="00E52D9D">
              <w:rPr>
                <w:rFonts w:cstheme="minorHAnsi"/>
                <w:color w:val="000000"/>
                <w:sz w:val="20"/>
                <w:szCs w:val="20"/>
              </w:rPr>
              <w:t xml:space="preserve"> (2022) The amphipod </w:t>
            </w:r>
            <w:proofErr w:type="spellStart"/>
            <w:r w:rsidRPr="00E52D9D">
              <w:rPr>
                <w:rFonts w:cstheme="minorHAnsi"/>
                <w:i/>
                <w:iCs/>
                <w:color w:val="000000"/>
                <w:sz w:val="20"/>
                <w:szCs w:val="20"/>
              </w:rPr>
              <w:t>Parhyale</w:t>
            </w:r>
            <w:proofErr w:type="spellEnd"/>
            <w:r w:rsidRPr="00E52D9D">
              <w:rPr>
                <w:rFonts w:cstheme="minorHAnsi"/>
                <w:i/>
                <w:iCs/>
                <w:color w:val="000000"/>
                <w:sz w:val="20"/>
                <w:szCs w:val="20"/>
              </w:rPr>
              <w:t xml:space="preserve"> </w:t>
            </w:r>
            <w:proofErr w:type="spellStart"/>
            <w:r w:rsidRPr="00E52D9D">
              <w:rPr>
                <w:rFonts w:cstheme="minorHAnsi"/>
                <w:i/>
                <w:iCs/>
                <w:color w:val="000000"/>
                <w:sz w:val="20"/>
                <w:szCs w:val="20"/>
              </w:rPr>
              <w:t>hawaiensis</w:t>
            </w:r>
            <w:proofErr w:type="spellEnd"/>
            <w:r w:rsidRPr="00E52D9D">
              <w:rPr>
                <w:rFonts w:cstheme="minorHAnsi"/>
                <w:color w:val="000000"/>
                <w:sz w:val="20"/>
                <w:szCs w:val="20"/>
              </w:rPr>
              <w:t xml:space="preserve"> as a promising model in ecotoxicology. </w:t>
            </w:r>
            <w:r w:rsidRPr="00E52D9D">
              <w:rPr>
                <w:rFonts w:cstheme="minorHAnsi"/>
                <w:i/>
                <w:iCs/>
                <w:color w:val="000000"/>
                <w:sz w:val="20"/>
                <w:szCs w:val="20"/>
              </w:rPr>
              <w:t>Chemosphere</w:t>
            </w:r>
            <w:r w:rsidRPr="00E52D9D">
              <w:rPr>
                <w:rFonts w:cstheme="minorHAnsi"/>
                <w:color w:val="000000"/>
                <w:sz w:val="20"/>
                <w:szCs w:val="20"/>
              </w:rPr>
              <w:t>. 307: 135959.</w:t>
            </w:r>
          </w:p>
          <w:p w14:paraId="19AC592A" w14:textId="03E54E1E" w:rsidR="009920A0" w:rsidRPr="00E52D9D" w:rsidRDefault="009920A0" w:rsidP="009920A0">
            <w:pPr>
              <w:rPr>
                <w:sz w:val="20"/>
                <w:szCs w:val="20"/>
              </w:rPr>
            </w:pPr>
          </w:p>
          <w:p w14:paraId="0EF28EAC" w14:textId="04EAFF30" w:rsidR="009920A0" w:rsidRPr="00E52D9D" w:rsidRDefault="009920A0" w:rsidP="009920A0">
            <w:pPr>
              <w:rPr>
                <w:sz w:val="20"/>
                <w:szCs w:val="20"/>
              </w:rPr>
            </w:pPr>
            <w:proofErr w:type="spellStart"/>
            <w:r w:rsidRPr="00E52D9D">
              <w:rPr>
                <w:sz w:val="20"/>
                <w:szCs w:val="20"/>
              </w:rPr>
              <w:t>Harney</w:t>
            </w:r>
            <w:proofErr w:type="spellEnd"/>
            <w:r w:rsidRPr="00E52D9D">
              <w:rPr>
                <w:sz w:val="20"/>
                <w:szCs w:val="20"/>
              </w:rPr>
              <w:t xml:space="preserve">, </w:t>
            </w:r>
            <w:r w:rsidRPr="00E52D9D">
              <w:rPr>
                <w:i/>
                <w:iCs/>
                <w:sz w:val="20"/>
                <w:szCs w:val="20"/>
              </w:rPr>
              <w:t>et al.</w:t>
            </w:r>
            <w:r w:rsidRPr="00E52D9D">
              <w:rPr>
                <w:sz w:val="20"/>
                <w:szCs w:val="20"/>
              </w:rPr>
              <w:t xml:space="preserve"> (2022). Pollution induces epigenetic effects that are stably transmitted across multiple generations. </w:t>
            </w:r>
            <w:r w:rsidRPr="00E52D9D">
              <w:rPr>
                <w:i/>
                <w:iCs/>
                <w:sz w:val="20"/>
                <w:szCs w:val="20"/>
              </w:rPr>
              <w:t>Evolution Letters</w:t>
            </w:r>
            <w:r w:rsidRPr="00E52D9D">
              <w:rPr>
                <w:sz w:val="20"/>
                <w:szCs w:val="20"/>
              </w:rPr>
              <w:t>. 6 (2), p118-135.</w:t>
            </w:r>
          </w:p>
          <w:p w14:paraId="612D2E3C" w14:textId="79D9CAF9" w:rsidR="68B6AEE3" w:rsidRPr="00E52D9D" w:rsidRDefault="68B6AEE3" w:rsidP="68B6AEE3">
            <w:pPr>
              <w:rPr>
                <w:sz w:val="20"/>
                <w:szCs w:val="20"/>
              </w:rPr>
            </w:pPr>
          </w:p>
          <w:p w14:paraId="6D02D14C" w14:textId="104949E2" w:rsidR="68B6AEE3" w:rsidRPr="00E52D9D" w:rsidRDefault="009920A0" w:rsidP="68B6AEE3">
            <w:pPr>
              <w:rPr>
                <w:sz w:val="20"/>
                <w:szCs w:val="20"/>
              </w:rPr>
            </w:pPr>
            <w:r w:rsidRPr="00E52D9D">
              <w:rPr>
                <w:sz w:val="20"/>
                <w:szCs w:val="20"/>
              </w:rPr>
              <w:t xml:space="preserve">Wang, </w:t>
            </w:r>
            <w:r w:rsidRPr="00E52D9D">
              <w:rPr>
                <w:i/>
                <w:iCs/>
                <w:sz w:val="20"/>
                <w:szCs w:val="20"/>
              </w:rPr>
              <w:t>et al.</w:t>
            </w:r>
            <w:r w:rsidRPr="00E52D9D">
              <w:rPr>
                <w:sz w:val="20"/>
                <w:szCs w:val="20"/>
              </w:rPr>
              <w:t xml:space="preserve"> (2013). Function and evolution of DNA methylation in </w:t>
            </w:r>
            <w:proofErr w:type="spellStart"/>
            <w:r w:rsidRPr="00E52D9D">
              <w:rPr>
                <w:i/>
                <w:iCs/>
                <w:sz w:val="20"/>
                <w:szCs w:val="20"/>
              </w:rPr>
              <w:t>Nasonia</w:t>
            </w:r>
            <w:proofErr w:type="spellEnd"/>
            <w:r w:rsidRPr="00E52D9D">
              <w:rPr>
                <w:i/>
                <w:iCs/>
                <w:sz w:val="20"/>
                <w:szCs w:val="20"/>
              </w:rPr>
              <w:t xml:space="preserve"> </w:t>
            </w:r>
            <w:proofErr w:type="spellStart"/>
            <w:r w:rsidRPr="00E52D9D">
              <w:rPr>
                <w:i/>
                <w:iCs/>
                <w:sz w:val="20"/>
                <w:szCs w:val="20"/>
              </w:rPr>
              <w:t>vitripennis</w:t>
            </w:r>
            <w:proofErr w:type="spellEnd"/>
            <w:r w:rsidRPr="00E52D9D">
              <w:rPr>
                <w:i/>
                <w:iCs/>
                <w:sz w:val="20"/>
                <w:szCs w:val="20"/>
              </w:rPr>
              <w:t xml:space="preserve">. </w:t>
            </w:r>
            <w:proofErr w:type="spellStart"/>
            <w:r w:rsidRPr="00E52D9D">
              <w:rPr>
                <w:i/>
                <w:iCs/>
                <w:sz w:val="20"/>
                <w:szCs w:val="20"/>
              </w:rPr>
              <w:t>PLoS</w:t>
            </w:r>
            <w:proofErr w:type="spellEnd"/>
            <w:r w:rsidRPr="00E52D9D">
              <w:rPr>
                <w:i/>
                <w:iCs/>
                <w:sz w:val="20"/>
                <w:szCs w:val="20"/>
              </w:rPr>
              <w:t xml:space="preserve"> Genetics.</w:t>
            </w:r>
            <w:r w:rsidRPr="00E52D9D">
              <w:rPr>
                <w:sz w:val="20"/>
                <w:szCs w:val="20"/>
              </w:rPr>
              <w:t xml:space="preserve"> 9(10), e100872.</w:t>
            </w:r>
          </w:p>
          <w:p w14:paraId="55AB5669" w14:textId="4A6D9BED" w:rsidR="68B6AEE3" w:rsidRPr="00E52D9D" w:rsidRDefault="68B6AEE3" w:rsidP="68B6AEE3">
            <w:pPr>
              <w:rPr>
                <w:sz w:val="20"/>
                <w:szCs w:val="20"/>
              </w:rPr>
            </w:pPr>
          </w:p>
          <w:p w14:paraId="6B23D445" w14:textId="79DDE95F" w:rsidR="00CB0DA1" w:rsidRPr="00E52D9D" w:rsidRDefault="009920A0">
            <w:pPr>
              <w:rPr>
                <w:sz w:val="20"/>
                <w:szCs w:val="20"/>
              </w:rPr>
            </w:pPr>
            <w:r w:rsidRPr="00E52D9D">
              <w:rPr>
                <w:sz w:val="20"/>
                <w:szCs w:val="20"/>
              </w:rPr>
              <w:t xml:space="preserve">Beginners guide to </w:t>
            </w:r>
            <w:proofErr w:type="spellStart"/>
            <w:r w:rsidRPr="00E52D9D">
              <w:rPr>
                <w:sz w:val="20"/>
                <w:szCs w:val="20"/>
              </w:rPr>
              <w:t>bisulfite</w:t>
            </w:r>
            <w:proofErr w:type="spellEnd"/>
            <w:r w:rsidRPr="00E52D9D">
              <w:rPr>
                <w:sz w:val="20"/>
                <w:szCs w:val="20"/>
              </w:rPr>
              <w:t xml:space="preserve">-PCR: </w:t>
            </w:r>
            <w:hyperlink r:id="rId12" w:history="1">
              <w:r w:rsidRPr="00E52D9D">
                <w:rPr>
                  <w:rStyle w:val="Hyperlink"/>
                  <w:sz w:val="20"/>
                  <w:szCs w:val="20"/>
                </w:rPr>
                <w:t>Bisulfite_Beginner_Guide.pdf (bioscience.co.uk)</w:t>
              </w:r>
            </w:hyperlink>
          </w:p>
          <w:p w14:paraId="268BEA20" w14:textId="77777777" w:rsidR="00CB0DA1" w:rsidRDefault="00CB0DA1"/>
          <w:p w14:paraId="3C7B61E2" w14:textId="589350B4" w:rsidR="00CB0DA1" w:rsidRDefault="00CB0DA1"/>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5CFFA195" w:rsidR="00CB0DA1" w:rsidRDefault="00CB0DA1">
      <w:r>
        <w:t>Signed:</w:t>
      </w:r>
      <w:r w:rsidR="00E11B86">
        <w:t xml:space="preserve"> </w:t>
      </w:r>
      <w:proofErr w:type="spellStart"/>
      <w:r w:rsidR="00E11B86">
        <w:t>THPHarvey</w:t>
      </w:r>
      <w:proofErr w:type="spellEnd"/>
    </w:p>
    <w:p w14:paraId="3F02715A" w14:textId="65324D76" w:rsidR="00CB0DA1" w:rsidRDefault="00CB0DA1">
      <w:r>
        <w:t>Date:</w:t>
      </w:r>
      <w:r w:rsidR="00E11B86">
        <w:t xml:space="preserve"> 19</w:t>
      </w:r>
      <w:r w:rsidR="00E11B86" w:rsidRPr="00E11B86">
        <w:rPr>
          <w:vertAlign w:val="superscript"/>
        </w:rPr>
        <w:t>th</w:t>
      </w:r>
      <w:r w:rsidR="00E11B86">
        <w:t xml:space="preserve"> April 2024</w:t>
      </w:r>
    </w:p>
    <w:p w14:paraId="0DF9FECC" w14:textId="6F3696C4" w:rsidR="00CB0DA1" w:rsidRDefault="00CB0DA1">
      <w:r>
        <w:t xml:space="preserve">Position: </w:t>
      </w:r>
      <w:r w:rsidR="00E11B86">
        <w:t>Deputy point of contact for CENTA, University of Leicester</w:t>
      </w:r>
    </w:p>
    <w:sectPr w:rsidR="00CB0DA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BEB6" w14:textId="77777777" w:rsidR="00CB0DA1" w:rsidRDefault="00CB0DA1" w:rsidP="00CB0DA1">
      <w:pPr>
        <w:spacing w:after="0" w:line="240" w:lineRule="auto"/>
      </w:pPr>
      <w:r>
        <w:separator/>
      </w:r>
    </w:p>
  </w:endnote>
  <w:endnote w:type="continuationSeparator" w:id="0">
    <w:p w14:paraId="4A528D12" w14:textId="77777777" w:rsidR="00CB0DA1" w:rsidRDefault="00CB0DA1"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Regu">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04F" w14:textId="77777777" w:rsidR="00CB0DA1" w:rsidRDefault="00CB0DA1" w:rsidP="00CB0DA1">
      <w:pPr>
        <w:spacing w:after="0" w:line="240" w:lineRule="auto"/>
      </w:pPr>
      <w:r>
        <w:separator/>
      </w:r>
    </w:p>
  </w:footnote>
  <w:footnote w:type="continuationSeparator" w:id="0">
    <w:p w14:paraId="2CE86A80" w14:textId="77777777" w:rsidR="00CB0DA1" w:rsidRDefault="00CB0DA1"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07CE1523"/>
    <w:multiLevelType w:val="hybridMultilevel"/>
    <w:tmpl w:val="7BB2D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B63D5"/>
    <w:multiLevelType w:val="hybridMultilevel"/>
    <w:tmpl w:val="93C6948A"/>
    <w:lvl w:ilvl="0" w:tplc="EAB49ACE">
      <w:start w:val="1"/>
      <w:numFmt w:val="bullet"/>
      <w:lvlText w:val=""/>
      <w:lvlJc w:val="left"/>
      <w:pPr>
        <w:ind w:left="2160" w:hanging="360"/>
      </w:pPr>
      <w:rPr>
        <w:rFonts w:ascii="Symbol" w:hAnsi="Symbol" w:hint="default"/>
      </w:rPr>
    </w:lvl>
    <w:lvl w:ilvl="1" w:tplc="5B5EAB90">
      <w:start w:val="1"/>
      <w:numFmt w:val="bullet"/>
      <w:lvlText w:val="o"/>
      <w:lvlJc w:val="left"/>
      <w:pPr>
        <w:ind w:left="1440" w:hanging="360"/>
      </w:pPr>
      <w:rPr>
        <w:rFonts w:ascii="Courier New" w:hAnsi="Courier New" w:hint="default"/>
      </w:rPr>
    </w:lvl>
    <w:lvl w:ilvl="2" w:tplc="475E6EE4">
      <w:start w:val="1"/>
      <w:numFmt w:val="bullet"/>
      <w:lvlText w:val=""/>
      <w:lvlJc w:val="left"/>
      <w:pPr>
        <w:ind w:left="2160" w:hanging="360"/>
      </w:pPr>
      <w:rPr>
        <w:rFonts w:ascii="Wingdings" w:hAnsi="Wingdings" w:hint="default"/>
      </w:rPr>
    </w:lvl>
    <w:lvl w:ilvl="3" w:tplc="95F662D6">
      <w:start w:val="1"/>
      <w:numFmt w:val="bullet"/>
      <w:lvlText w:val=""/>
      <w:lvlJc w:val="left"/>
      <w:pPr>
        <w:ind w:left="2880" w:hanging="360"/>
      </w:pPr>
      <w:rPr>
        <w:rFonts w:ascii="Symbol" w:hAnsi="Symbol" w:hint="default"/>
      </w:rPr>
    </w:lvl>
    <w:lvl w:ilvl="4" w:tplc="2DC2C7C4">
      <w:start w:val="1"/>
      <w:numFmt w:val="bullet"/>
      <w:lvlText w:val="o"/>
      <w:lvlJc w:val="left"/>
      <w:pPr>
        <w:ind w:left="3600" w:hanging="360"/>
      </w:pPr>
      <w:rPr>
        <w:rFonts w:ascii="Courier New" w:hAnsi="Courier New" w:hint="default"/>
      </w:rPr>
    </w:lvl>
    <w:lvl w:ilvl="5" w:tplc="671C2312">
      <w:start w:val="1"/>
      <w:numFmt w:val="bullet"/>
      <w:lvlText w:val=""/>
      <w:lvlJc w:val="left"/>
      <w:pPr>
        <w:ind w:left="4320" w:hanging="360"/>
      </w:pPr>
      <w:rPr>
        <w:rFonts w:ascii="Wingdings" w:hAnsi="Wingdings" w:hint="default"/>
      </w:rPr>
    </w:lvl>
    <w:lvl w:ilvl="6" w:tplc="EDC66782">
      <w:start w:val="1"/>
      <w:numFmt w:val="bullet"/>
      <w:lvlText w:val=""/>
      <w:lvlJc w:val="left"/>
      <w:pPr>
        <w:ind w:left="5040" w:hanging="360"/>
      </w:pPr>
      <w:rPr>
        <w:rFonts w:ascii="Symbol" w:hAnsi="Symbol" w:hint="default"/>
      </w:rPr>
    </w:lvl>
    <w:lvl w:ilvl="7" w:tplc="422E5D12">
      <w:start w:val="1"/>
      <w:numFmt w:val="bullet"/>
      <w:lvlText w:val="o"/>
      <w:lvlJc w:val="left"/>
      <w:pPr>
        <w:ind w:left="5760" w:hanging="360"/>
      </w:pPr>
      <w:rPr>
        <w:rFonts w:ascii="Courier New" w:hAnsi="Courier New" w:hint="default"/>
      </w:rPr>
    </w:lvl>
    <w:lvl w:ilvl="8" w:tplc="016E1F58">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A236"/>
    <w:multiLevelType w:val="hybridMultilevel"/>
    <w:tmpl w:val="1B2CEDC6"/>
    <w:lvl w:ilvl="0" w:tplc="7B9EE9FE">
      <w:start w:val="1"/>
      <w:numFmt w:val="bullet"/>
      <w:lvlText w:val=""/>
      <w:lvlJc w:val="left"/>
      <w:pPr>
        <w:ind w:left="720" w:hanging="360"/>
      </w:pPr>
      <w:rPr>
        <w:rFonts w:ascii="Symbol" w:hAnsi="Symbol" w:hint="default"/>
      </w:rPr>
    </w:lvl>
    <w:lvl w:ilvl="1" w:tplc="6724256A">
      <w:start w:val="1"/>
      <w:numFmt w:val="bullet"/>
      <w:lvlText w:val="o"/>
      <w:lvlJc w:val="left"/>
      <w:pPr>
        <w:ind w:left="1440" w:hanging="360"/>
      </w:pPr>
      <w:rPr>
        <w:rFonts w:ascii="Courier New" w:hAnsi="Courier New" w:hint="default"/>
      </w:rPr>
    </w:lvl>
    <w:lvl w:ilvl="2" w:tplc="A2005F7E">
      <w:start w:val="1"/>
      <w:numFmt w:val="bullet"/>
      <w:lvlText w:val=""/>
      <w:lvlJc w:val="left"/>
      <w:pPr>
        <w:ind w:left="2160" w:hanging="360"/>
      </w:pPr>
      <w:rPr>
        <w:rFonts w:ascii="Wingdings" w:hAnsi="Wingdings" w:hint="default"/>
      </w:rPr>
    </w:lvl>
    <w:lvl w:ilvl="3" w:tplc="B922FF8C">
      <w:start w:val="1"/>
      <w:numFmt w:val="bullet"/>
      <w:lvlText w:val=""/>
      <w:lvlJc w:val="left"/>
      <w:pPr>
        <w:ind w:left="2880" w:hanging="360"/>
      </w:pPr>
      <w:rPr>
        <w:rFonts w:ascii="Symbol" w:hAnsi="Symbol" w:hint="default"/>
      </w:rPr>
    </w:lvl>
    <w:lvl w:ilvl="4" w:tplc="66FAE8A4">
      <w:start w:val="1"/>
      <w:numFmt w:val="bullet"/>
      <w:lvlText w:val="o"/>
      <w:lvlJc w:val="left"/>
      <w:pPr>
        <w:ind w:left="3600" w:hanging="360"/>
      </w:pPr>
      <w:rPr>
        <w:rFonts w:ascii="Courier New" w:hAnsi="Courier New" w:hint="default"/>
      </w:rPr>
    </w:lvl>
    <w:lvl w:ilvl="5" w:tplc="7F625EA8">
      <w:start w:val="1"/>
      <w:numFmt w:val="bullet"/>
      <w:lvlText w:val=""/>
      <w:lvlJc w:val="left"/>
      <w:pPr>
        <w:ind w:left="4320" w:hanging="360"/>
      </w:pPr>
      <w:rPr>
        <w:rFonts w:ascii="Wingdings" w:hAnsi="Wingdings" w:hint="default"/>
      </w:rPr>
    </w:lvl>
    <w:lvl w:ilvl="6" w:tplc="A62C93B0">
      <w:start w:val="1"/>
      <w:numFmt w:val="bullet"/>
      <w:lvlText w:val=""/>
      <w:lvlJc w:val="left"/>
      <w:pPr>
        <w:ind w:left="5040" w:hanging="360"/>
      </w:pPr>
      <w:rPr>
        <w:rFonts w:ascii="Symbol" w:hAnsi="Symbol" w:hint="default"/>
      </w:rPr>
    </w:lvl>
    <w:lvl w:ilvl="7" w:tplc="4B80BD56">
      <w:start w:val="1"/>
      <w:numFmt w:val="bullet"/>
      <w:lvlText w:val="o"/>
      <w:lvlJc w:val="left"/>
      <w:pPr>
        <w:ind w:left="5760" w:hanging="360"/>
      </w:pPr>
      <w:rPr>
        <w:rFonts w:ascii="Courier New" w:hAnsi="Courier New" w:hint="default"/>
      </w:rPr>
    </w:lvl>
    <w:lvl w:ilvl="8" w:tplc="21505A32">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296323"/>
    <w:rsid w:val="002E0A9B"/>
    <w:rsid w:val="002F652D"/>
    <w:rsid w:val="0059112C"/>
    <w:rsid w:val="005D5EA4"/>
    <w:rsid w:val="00680247"/>
    <w:rsid w:val="0068404B"/>
    <w:rsid w:val="009920A0"/>
    <w:rsid w:val="009C524F"/>
    <w:rsid w:val="00B271E8"/>
    <w:rsid w:val="00B74B4A"/>
    <w:rsid w:val="00BB22A7"/>
    <w:rsid w:val="00BD00B7"/>
    <w:rsid w:val="00CB0DA1"/>
    <w:rsid w:val="00CB6C09"/>
    <w:rsid w:val="00D36AE0"/>
    <w:rsid w:val="00E11B86"/>
    <w:rsid w:val="00E52D9D"/>
    <w:rsid w:val="00E55F50"/>
    <w:rsid w:val="00F47F09"/>
    <w:rsid w:val="00FD7D7E"/>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2A7"/>
    <w:rPr>
      <w:color w:val="0563C1" w:themeColor="hyperlink"/>
      <w:u w:val="single"/>
    </w:rPr>
  </w:style>
  <w:style w:type="character" w:styleId="UnresolvedMention">
    <w:name w:val="Unresolved Mention"/>
    <w:basedOn w:val="DefaultParagraphFont"/>
    <w:uiPriority w:val="99"/>
    <w:semiHidden/>
    <w:unhideWhenUsed/>
    <w:rsid w:val="00BB22A7"/>
    <w:rPr>
      <w:color w:val="605E5C"/>
      <w:shd w:val="clear" w:color="auto" w:fill="E1DFDD"/>
    </w:rPr>
  </w:style>
  <w:style w:type="paragraph" w:customStyle="1" w:styleId="Default">
    <w:name w:val="Default"/>
    <w:rsid w:val="009920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oscience.co.uk/userfiles/pdf/Bisulfite_Beginner_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jm32@leice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3.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Harvey, Tom (Dr.)</cp:lastModifiedBy>
  <cp:revision>3</cp:revision>
  <dcterms:created xsi:type="dcterms:W3CDTF">2024-04-19T13:43:00Z</dcterms:created>
  <dcterms:modified xsi:type="dcterms:W3CDTF">2024-04-22T15:11:00Z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